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どうして　こう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なるのかな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やくそくや　きまりは、どうして　まもらなければ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いけないのかな。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5299275</wp:posOffset>
            </wp:positionH>
            <wp:positionV relativeFrom="page">
              <wp:posOffset>2218096</wp:posOffset>
            </wp:positionV>
            <wp:extent cx="1824228" cy="1824228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4228" cy="182422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451050</wp:posOffset>
            </wp:positionH>
            <wp:positionV relativeFrom="page">
              <wp:posOffset>2333031</wp:posOffset>
            </wp:positionV>
            <wp:extent cx="2026920" cy="1628775"/>
            <wp:effectExtent b="0" l="0" r="0" t="0"/>
            <wp:wrapNone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6920" cy="16287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2689425</wp:posOffset>
            </wp:positionH>
            <wp:positionV relativeFrom="page">
              <wp:posOffset>2342556</wp:posOffset>
            </wp:positionV>
            <wp:extent cx="2410968" cy="1619307"/>
            <wp:effectExtent b="0" l="0" r="0" t="0"/>
            <wp:wrapNone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0968" cy="161930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●やくそくや　きまりを　まもると、どんな　いい　ことが、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あるでしょう。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5203613</wp:posOffset>
                </wp:positionV>
                <wp:extent cx="6581775" cy="472717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4227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5203613</wp:posOffset>
                </wp:positionV>
                <wp:extent cx="6581775" cy="4727175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47271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