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ぽんたと　かんた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よくない　ことを　しないためには、どう　すれば　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よいのでしょう。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●ずんずん　あるいて　いく　かんたを　みて、ぽんたは、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どんな　きもちに　なったでしょう。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2912850</wp:posOffset>
                </wp:positionV>
                <wp:extent cx="6581775" cy="252213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2912850</wp:posOffset>
                </wp:positionV>
                <wp:extent cx="6581775" cy="252213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52213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●ぽんたは、どうして「ぼくは、いかないよ。」と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いったのでしょう。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489113</wp:posOffset>
                </wp:positionH>
                <wp:positionV relativeFrom="page">
                  <wp:posOffset>6672603</wp:posOffset>
                </wp:positionV>
                <wp:extent cx="4973475" cy="336232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489113</wp:posOffset>
                </wp:positionH>
                <wp:positionV relativeFrom="page">
                  <wp:posOffset>6672603</wp:posOffset>
                </wp:positionV>
                <wp:extent cx="4973475" cy="336232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73475" cy="3362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5567363</wp:posOffset>
            </wp:positionH>
            <wp:positionV relativeFrom="page">
              <wp:posOffset>8579478</wp:posOffset>
            </wp:positionV>
            <wp:extent cx="1847850" cy="144831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483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