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４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どうしてきまりが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あるのかな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5919788</wp:posOffset>
            </wp:positionH>
            <wp:positionV relativeFrom="page">
              <wp:posOffset>1764212</wp:posOffset>
            </wp:positionV>
            <wp:extent cx="817763" cy="1262874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17763" cy="126287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きまりは、どうして　まもらなければ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ならないのでしょう。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●きまりを　まもっていない人は、どうしてきまりを　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まもらないのでしょう。</w:t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2937891</wp:posOffset>
                </wp:positionV>
                <wp:extent cx="6581775" cy="2847787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417075"/>
                          <a:ext cx="5286300" cy="2367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2937891</wp:posOffset>
                </wp:positionV>
                <wp:extent cx="6581775" cy="2847787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84778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5662613</wp:posOffset>
            </wp:positionH>
            <wp:positionV relativeFrom="page">
              <wp:posOffset>6044852</wp:posOffset>
            </wp:positionV>
            <wp:extent cx="1208288" cy="1187633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08288" cy="118763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●きまりをまもらないと、どんなことがおこると　</w:t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思いますか。</w:t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7078091</wp:posOffset>
                </wp:positionV>
                <wp:extent cx="6581775" cy="2847787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417075"/>
                          <a:ext cx="5286300" cy="2367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7078091</wp:posOffset>
                </wp:positionV>
                <wp:extent cx="6581775" cy="2847787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84778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5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