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雨ふり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だれにたいしても、同じように　何かをする気もちを　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もつことは、どうして大切なのでしょう。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●ふみおさんは、はっとしたとき、どんなことに　気がついたでしょう。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5805024</wp:posOffset>
            </wp:positionH>
            <wp:positionV relativeFrom="page">
              <wp:posOffset>4501556</wp:posOffset>
            </wp:positionV>
            <wp:extent cx="1521096" cy="1122957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1096" cy="11229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2853731</wp:posOffset>
                </wp:positionV>
                <wp:extent cx="5248275" cy="306605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60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2853731</wp:posOffset>
                </wp:positionV>
                <wp:extent cx="5248275" cy="306605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0660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●あなたは、これから　まわりの人に、どんな気もちを　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もっていたいですか。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6948846</wp:posOffset>
                </wp:positionV>
                <wp:extent cx="5248275" cy="306605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60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6948846</wp:posOffset>
                </wp:positionV>
                <wp:extent cx="5248275" cy="306605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0660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5900274</wp:posOffset>
            </wp:positionH>
            <wp:positionV relativeFrom="page">
              <wp:posOffset>7691438</wp:posOffset>
            </wp:positionV>
            <wp:extent cx="1169868" cy="158115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9868" cy="1581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