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スーパー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モンスターカード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正しいことを行うために大切なことは、何でしょう。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●カードを取ることは、「してはいけないことだ。」と思っていたのに、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「ぼく」は、どうして大地に、何も言えなかったのでしょう。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●「大地！」と声をかけたとき、「ぼく」は、どんなことを思っていたでしょう。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6383579</wp:posOffset>
                </wp:positionV>
                <wp:extent cx="4906763" cy="35052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48822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6383579</wp:posOffset>
                </wp:positionV>
                <wp:extent cx="4906763" cy="35052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06763" cy="3505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5251650</wp:posOffset>
            </wp:positionH>
            <wp:positionV relativeFrom="page">
              <wp:posOffset>7374758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5367338</wp:posOffset>
            </wp:positionH>
            <wp:positionV relativeFrom="page">
              <wp:posOffset>7889108</wp:posOffset>
            </wp:positionV>
            <wp:extent cx="2005013" cy="1659705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3553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5013" cy="16597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256.692913385827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56.6929133858275"/>
        <w:tblGridChange w:id="0">
          <w:tblGrid>
            <w:gridCol w:w="7256.6929133858275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