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千羽づる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誠実に生きるには、どんな考えがあればよいのだろう。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●だまっていれば分からないのに、南は、どうしてなやんでいるのでしょう。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5805488</wp:posOffset>
            </wp:positionH>
            <wp:positionV relativeFrom="page">
              <wp:posOffset>3978951</wp:posOffset>
            </wp:positionV>
            <wp:extent cx="1341638" cy="1835925"/>
            <wp:effectExtent b="0" l="0" r="0" t="0"/>
            <wp:wrapNone/>
            <wp:docPr id="5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41638" cy="183592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5604075</wp:posOffset>
            </wp:positionH>
            <wp:positionV relativeFrom="page">
              <wp:posOffset>3600374</wp:posOffset>
            </wp:positionV>
            <wp:extent cx="515737" cy="492816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15737" cy="49281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443656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4457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2447849</wp:posOffset>
                </wp:positionV>
                <wp:extent cx="5257800" cy="4436564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443656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●誠実に生きるには、どんな考えが大切なのでしょう。</w:t>
      </w:r>
    </w:p>
    <w:p w:rsidR="00000000" w:rsidDel="00000000" w:rsidP="00000000" w:rsidRDefault="00000000" w:rsidRPr="00000000" w14:paraId="00000022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7486914</wp:posOffset>
                </wp:positionV>
                <wp:extent cx="6696075" cy="222479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1727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7486914</wp:posOffset>
                </wp:positionV>
                <wp:extent cx="6696075" cy="222479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22479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