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差別の根底にあるものは？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差別や偏見のない社会を目ざして、私たちにできることは、何だろう。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「怖いのは、病気そのものではなく、世間の雰囲気や、社会の空気。」というのは、どういうことだろう。</w:t>
            </w:r>
          </w:p>
        </w:tc>
      </w:tr>
      <w:tr>
        <w:trPr>
          <w:cantSplit w:val="0"/>
          <w:trHeight w:val="499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繰り返し起こる差別や偏見に打ち勝つために、私たちに必要なのは、どんな考えだろう。</w:t>
            </w:r>
          </w:p>
        </w:tc>
      </w:tr>
      <w:tr>
        <w:trPr>
          <w:cantSplit w:val="0"/>
          <w:trHeight w:val="4995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4743450</wp:posOffset>
                  </wp:positionH>
                  <wp:positionV relativeFrom="paragraph">
                    <wp:posOffset>1743075</wp:posOffset>
                  </wp:positionV>
                  <wp:extent cx="1619280" cy="135576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3557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