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27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むこう岸には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他国の人と理解し合うために大切なのは、どんな心だろう。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この川に橋を架けるためには、どんな考えが必要なのだろう。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他国の人と理解し合うために大切なのは、どんな心だろう。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4429125</wp:posOffset>
                  </wp:positionH>
                  <wp:positionV relativeFrom="paragraph">
                    <wp:posOffset>2200275</wp:posOffset>
                  </wp:positionV>
                  <wp:extent cx="1929960" cy="1182240"/>
                  <wp:effectExtent b="0" l="0" r="0" t="0"/>
                  <wp:wrapNone/>
                  <wp:docPr descr="挿絵 が含まれている画像&#10;&#10;自動的に生成された説明" id="1" name="image1.jpg"/>
                  <a:graphic>
                    <a:graphicData uri="http://schemas.openxmlformats.org/drawingml/2006/picture">
                      <pic:pic>
                        <pic:nvPicPr>
                          <pic:cNvPr descr="挿絵 が含まれている画像&#10;&#10;自動的に生成された説明"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9960" cy="118224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