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32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命の木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感動の源にあるものを見つめよう。</w:t>
            </w:r>
          </w:p>
        </w:tc>
      </w:tr>
      <w:tr>
        <w:trPr>
          <w:cantSplit w:val="0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「私」は、どんな思いを込めて、屋久杉を「命の木」とよんだのだろう。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感動の源にあるものについて考えよう。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4743450</wp:posOffset>
                  </wp:positionH>
                  <wp:positionV relativeFrom="paragraph">
                    <wp:posOffset>2019300</wp:posOffset>
                  </wp:positionV>
                  <wp:extent cx="1619280" cy="1368360"/>
                  <wp:effectExtent b="0" l="0" r="0" t="0"/>
                  <wp:wrapNone/>
                  <wp:docPr descr="ダイアグラム&#10;&#10;中程度の精度で自動的に生成された説明" id="1" name="image1.jpg"/>
                  <a:graphic>
                    <a:graphicData uri="http://schemas.openxmlformats.org/drawingml/2006/picture">
                      <pic:pic>
                        <pic:nvPicPr>
                          <pic:cNvPr descr="ダイアグラム&#10;&#10;中程度の精度で自動的に生成された説明"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80" cy="136836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