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遠く離れた人に会いたい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自分の弱さと向き合い、生きていくことについて、考えよう。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吉藤さんが、「自分が生きていく理由」を見いだすことができたのは、どうしてだろう。</w:t>
            </w:r>
          </w:p>
        </w:tc>
      </w:tr>
      <w:tr>
        <w:trPr>
          <w:cantSplit w:val="0"/>
          <w:trHeight w:val="476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「遠く離れた人に会いたい」を読んで話し合ってきたことを通して、自分の弱さと向き合い、生きていくことについて考えたことは、何だろう。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5094605</wp:posOffset>
                  </wp:positionH>
                  <wp:positionV relativeFrom="paragraph">
                    <wp:posOffset>1641475</wp:posOffset>
                  </wp:positionV>
                  <wp:extent cx="12693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