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一年間の学びを振り返ろう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3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9"/>
        <w:gridCol w:w="1272"/>
        <w:gridCol w:w="8342"/>
        <w:tblGridChange w:id="0">
          <w:tblGrid>
            <w:gridCol w:w="539"/>
            <w:gridCol w:w="1272"/>
            <w:gridCol w:w="8342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この1年間で学んだことを振り返ろう。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49.72440944881782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教科書172・173ページの柗井さんのルールを参考にして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「がんばりたい」「大切にしたい」と思ったことをかなえるための、「自分のルール」を作ってみよう。</w:t>
            </w:r>
          </w:p>
        </w:tc>
      </w:tr>
      <w:tr>
        <w:trPr>
          <w:cantSplit w:val="0"/>
          <w:trHeight w:val="113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4761865</wp:posOffset>
                  </wp:positionH>
                  <wp:positionV relativeFrom="paragraph">
                    <wp:posOffset>6066790</wp:posOffset>
                  </wp:positionV>
                  <wp:extent cx="1619280" cy="1103760"/>
                  <wp:effectExtent b="0" l="0" r="0" t="0"/>
                  <wp:wrapNone/>
                  <wp:docPr descr="挿絵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103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18"/>
        </w:tabs>
        <w:spacing w:after="60" w:before="60" w:line="20" w:lineRule="auto"/>
        <w:ind w:left="0" w:right="105" w:firstLine="50"/>
        <w:jc w:val="both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