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アイツとオレ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他者とわかり合うために必要なことは、何だろう。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「アイツ」が、「オレ」から「いやみなやつだな。」と言われても、話を続けたのは、どうしてだろう。</w:t>
            </w:r>
          </w:p>
        </w:tc>
      </w:tr>
      <w:tr>
        <w:trPr>
          <w:cantSplit w:val="0"/>
          <w:trHeight w:val="297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「オレ」は、「アイツ」から「だからこそわかるんだ。」と言われたとき、どんな気持ちになっただろう。</w:t>
            </w:r>
          </w:p>
        </w:tc>
      </w:tr>
      <w:tr>
        <w:trPr>
          <w:cantSplit w:val="0"/>
          <w:trHeight w:val="297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他者とわかり合うために必要なことは、何だろう。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4733925</wp:posOffset>
                  </wp:positionH>
                  <wp:positionV relativeFrom="paragraph">
                    <wp:posOffset>476250</wp:posOffset>
                  </wp:positionV>
                  <wp:extent cx="1619280" cy="13557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55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4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