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18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　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インターネットの中の社会で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インターネットで人々がつながる社会を生きるためには、どんな考え方が必要だろう。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教科書91～93ページのようなことが起こる背景には、人々のどんな心があるのだろう。</w:t>
            </w:r>
          </w:p>
        </w:tc>
      </w:tr>
      <w:tr>
        <w:trPr>
          <w:cantSplit w:val="0"/>
          <w:trHeight w:val="4763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インターネットで人々がつながる社会をよりよく生きていくためには、どんな考え方が必要だろう。</w:t>
            </w:r>
          </w:p>
        </w:tc>
      </w:tr>
      <w:tr>
        <w:trPr>
          <w:cantSplit w:val="0"/>
          <w:trHeight w:val="4763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4819650</wp:posOffset>
                  </wp:positionH>
                  <wp:positionV relativeFrom="paragraph">
                    <wp:posOffset>1343025</wp:posOffset>
                  </wp:positionV>
                  <wp:extent cx="1530360" cy="16192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036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B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