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命と向き合う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0"/>
        <w:gridCol w:w="1272"/>
        <w:gridCol w:w="3263"/>
        <w:gridCol w:w="5076"/>
        <w:tblGridChange w:id="0">
          <w:tblGrid>
            <w:gridCol w:w="540"/>
            <w:gridCol w:w="1272"/>
            <w:gridCol w:w="3263"/>
            <w:gridCol w:w="507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命の尊さについて、考えよう。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グループで、「なぜ命は大切なのか」について、話し合おう。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〈あなたの考え〉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〈いいなと思った友達の考え〉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生き物の３つの特徴を確かめたうえで、もう一度、「なぜ命は大切なのか」と「命を大切にするには、どうすればよいのか」について、話し合おう。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〈あなたの考え〉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〈いいなと思った友達の考え〉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57fqr2bj1c5n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vhxtobd2qc1c" w:id="1"/>
            <w:bookmarkEnd w:id="1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あなたが考える、「命のある間を思い切り生き」るとは、どういうことだろう。</w:t>
            </w:r>
          </w:p>
        </w:tc>
      </w:tr>
      <w:tr>
        <w:trPr>
          <w:cantSplit w:val="0"/>
          <w:trHeight w:val="3118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4447540</wp:posOffset>
                  </wp:positionH>
                  <wp:positionV relativeFrom="paragraph">
                    <wp:posOffset>1113155</wp:posOffset>
                  </wp:positionV>
                  <wp:extent cx="1913890" cy="80010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890" cy="800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E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