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付録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二通の手紙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規則は、何のためにあるのだろう。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元さんが、規則を知っていながら姉弟を動物園の中に入れたのは、どんな思いからだろう。</w:t>
            </w:r>
          </w:p>
        </w:tc>
      </w:tr>
      <w:tr>
        <w:trPr>
          <w:cantSplit w:val="0"/>
          <w:trHeight w:val="499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規則は、何のためにあるのだろう。</w:t>
            </w:r>
          </w:p>
        </w:tc>
      </w:tr>
      <w:tr>
        <w:trPr>
          <w:cantSplit w:val="0"/>
          <w:trHeight w:val="5471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4745355</wp:posOffset>
                  </wp:positionH>
                  <wp:positionV relativeFrom="paragraph">
                    <wp:posOffset>2178050</wp:posOffset>
                  </wp:positionV>
                  <wp:extent cx="1619280" cy="1208520"/>
                  <wp:effectExtent b="0" l="0" r="0" t="0"/>
                  <wp:wrapNone/>
                  <wp:docPr descr="家具, 座席, チェアー, テーブル が含まれている画像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家具, 座席, チェアー, テーブル が含まれている画像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2085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